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956CB3" w:rsidP="00B5113E">
      <w:pPr>
        <w:spacing w:before="402" w:after="225" w:line="240" w:lineRule="auto"/>
        <w:jc w:val="center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Geograph</w:t>
      </w:r>
      <w:r w:rsidR="00B5113E"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y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rPr>
          <w:rFonts w:ascii="Lato" w:eastAsia="Lato" w:hAnsi="Lato" w:cs="Lato"/>
          <w:color w:val="364659"/>
          <w:sz w:val="27"/>
          <w:szCs w:val="27"/>
        </w:rPr>
      </w:pPr>
    </w:p>
    <w:p w:rsidR="00A23E6B" w:rsidRDefault="00A23E6B"/>
    <w:p w:rsidR="00A23E6B" w:rsidRDefault="00A23E6B"/>
    <w:p w:rsidR="00A23E6B" w:rsidRDefault="00A23E6B"/>
    <w:p w:rsidR="00A23E6B" w:rsidRDefault="00A23E6B"/>
    <w:p w:rsidR="00A23E6B" w:rsidRDefault="00A23E6B"/>
    <w:p w:rsidR="00A23E6B" w:rsidRDefault="00A23E6B" w:rsidP="00A23E6B">
      <w:pPr>
        <w:sectPr w:rsidR="00A23E6B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A23E6B" w:rsidRDefault="00A23E6B" w:rsidP="00A23E6B">
      <w:pPr>
        <w:shd w:val="clear" w:color="auto" w:fill="0A9FAF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0A9FAF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A23E6B" w:rsidTr="008F2749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Locational knowledge</w:t>
            </w:r>
          </w:p>
        </w:tc>
      </w:tr>
      <w:tr w:rsidR="00A23E6B" w:rsidTr="008F2749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6</w:t>
            </w:r>
          </w:p>
        </w:tc>
      </w:tr>
      <w:tr w:rsidR="00A23E6B" w:rsidTr="008F2749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continent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country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Europe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England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Scotland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Wales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Northern Ireland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United Kingdom (UK)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Asia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China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Shanghai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Africa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 America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America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Antarctica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Equator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 Pole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Pole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Kenya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Atlantic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Indian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Southern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Pacific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Arctic 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London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Edinburgh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Cardiff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Belfast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Ben Nevis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Lake Windermere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Mount </w:t>
            </w:r>
            <w:proofErr w:type="spellStart"/>
            <w:r>
              <w:rPr>
                <w:color w:val="364659"/>
                <w:sz w:val="18"/>
                <w:szCs w:val="18"/>
              </w:rPr>
              <w:t>Snowdon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capital city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Weymouth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Jurassic Coast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Pembrokeshire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Orkney Islands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Giant's Causeway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Flamborough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Head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 Sea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English Channel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Irish Sea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Italy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climate zones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polar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arid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tropical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mediterranean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mountains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Earth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Mount </w:t>
            </w:r>
            <w:proofErr w:type="spellStart"/>
            <w:r>
              <w:rPr>
                <w:color w:val="364659"/>
                <w:sz w:val="18"/>
                <w:szCs w:val="18"/>
              </w:rPr>
              <w:t>Kilamanjaro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Andes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The </w:t>
            </w:r>
            <w:proofErr w:type="spellStart"/>
            <w:r>
              <w:rPr>
                <w:color w:val="364659"/>
                <w:sz w:val="18"/>
                <w:szCs w:val="18"/>
              </w:rPr>
              <w:t>Himalyas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Rockies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Alps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 Etna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Lines of latitude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Lines of longitude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 of Capricorn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 of Cancer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Northern Hemisphere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Southern Hemisphere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Arctic Circle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Antarctic Circle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Georgia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 Erebus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New Delhi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settlement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county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region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local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country border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biomes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savannah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tropical rainforest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 deciduous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boreal 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tundra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Amazon rainforest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Brazil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Manaus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Còte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d'Ivoire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West Africa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Severn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Thames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Trent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River Great </w:t>
            </w:r>
            <w:proofErr w:type="spellStart"/>
            <w:r>
              <w:rPr>
                <w:color w:val="364659"/>
                <w:sz w:val="18"/>
                <w:szCs w:val="18"/>
              </w:rPr>
              <w:t>Ouse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Wye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Mississippi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Amazon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Nile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Danube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Yangtze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 Murray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 Alps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France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Monaco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Switzerland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Liechtenstein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Austria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Germany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Slovenia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Great Barrier Reef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Australia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Japan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 Korea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USA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Thailand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Mojave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Death Valley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Gobi Desert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Oleshky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Sands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Sahara Desert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Chihuahuan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Patagonian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Antarctic Polar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Great Victoria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Nevada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Utah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Arizona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Atacama Desert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Prime/Greenwich Meridian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Singapore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Hong Kong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Bangladesh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Greenland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Canada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Oman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Bulgaria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Port of Blyth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Midland, Texas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Glasgow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Liverpool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Bristol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Newcastle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Southampton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Plymouth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Leeds</w:t>
            </w:r>
          </w:p>
        </w:tc>
      </w:tr>
    </w:tbl>
    <w:p w:rsidR="00A23E6B" w:rsidRDefault="00A23E6B" w:rsidP="00A23E6B">
      <w:pPr>
        <w:pStyle w:val="NoSpacingPHPDOCX"/>
      </w:pPr>
      <w:bookmarkStart w:id="0" w:name="_GoBack"/>
      <w:bookmarkEnd w:id="0"/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A23E6B" w:rsidTr="008F2749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F768BC">
            <w:pPr>
              <w:pStyle w:val="NoSpacingPHPDOCX"/>
              <w:jc w:val="center"/>
            </w:pPr>
            <w:r>
              <w:rPr>
                <w:color w:val="FFFFFF"/>
                <w:sz w:val="27"/>
                <w:szCs w:val="27"/>
                <w:shd w:val="clear" w:color="auto" w:fill="0A9FAF"/>
              </w:rPr>
              <w:lastRenderedPageBreak/>
              <w:t>Human and physical geography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A23E6B">
            <w:pPr>
              <w:pStyle w:val="NoSpacingPHPDOCX"/>
            </w:pPr>
            <w:r>
              <w:rPr>
                <w:shd w:val="clear" w:color="auto" w:fill="FFFFFF"/>
              </w:rPr>
              <w:t>Year 6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sz w:val="20"/>
                <w:szCs w:val="20"/>
                <w:shd w:val="clear" w:color="auto" w:fill="FFFFFF"/>
              </w:rPr>
              <w:t>Human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village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town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port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harbour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skyscraper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metro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transport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urban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rural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aquarium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tourist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geothermal energy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man-made rock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treaty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linear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nucleated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dispersed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recreational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agricultural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residential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commercial 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place of worship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monument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memorial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facilities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indigenous peoples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deforestation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community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logging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mining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food miles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import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export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distribution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produce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waste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consume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fertilisers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pesticides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greengrocer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butcher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trade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product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cooperative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responsible trade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seasonal food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air freight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grant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packaging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bakery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food bank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allotment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irrigation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leisure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supply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population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coral bleaching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microplastics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acidification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overfishing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Marine Protected Area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single-use plastic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re-purpose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plastic 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disposable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policy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biodegradable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airstrip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national park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nature reserve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tourist attraction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military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ranching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agriculture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desertification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flash flood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densely populated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sparsely populated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population density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population distribution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birth 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death 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increase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migration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refugee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push factors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pull factors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voluntary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involuntary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air 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noise pollution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energy source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hydropower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wind 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solar 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nuclear power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biofuel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non-renewable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dam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replenished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consumption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producer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headquarters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offshore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onshore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Physical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lake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weather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season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climate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desert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pack ice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 sheet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arid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savannah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vegetation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grasslands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rainforest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polar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mild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habitat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arch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coast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mudflat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pier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cliff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coastline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island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sand dunes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stack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inner core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outer core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mantle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crust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tectonic plates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plate boundary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volcano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shield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composite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active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dormant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extinct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mountain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fault block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fold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volcanic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magma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magma chamber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pyroclastic flow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fertile soil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minerals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volcanic springs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earthquake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tsunami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fault line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epicentre</w:t>
            </w:r>
            <w:proofErr w:type="spellEnd"/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seismic wave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focus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igneous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sedimentary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metamorphic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 shelf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drifting ice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iceberg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wilderness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vegetation belts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forest floor</w:t>
            </w:r>
          </w:p>
          <w:p w:rsidR="00A23E6B" w:rsidRDefault="00A23E6B" w:rsidP="00A23E6B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understorey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layer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canopy layer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emergent layer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drought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buttress roots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lianas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condensation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evaporation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groundwater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percolation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precipitation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transpiration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water cycle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delta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estuary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floodplain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meander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oxbow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lake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river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mouth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source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tributary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valley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waterfall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flooding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mountain range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temperate deciduous forest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coniferous trees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deciduous trees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 current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buffer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coral reef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marine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erosion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decompose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rainfall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barren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sparse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mesa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mushroom rock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arch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salt flat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 mass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coal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gas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crude oil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emissions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ocean tide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regenerate</w:t>
            </w:r>
          </w:p>
          <w:p w:rsidR="00A23E6B" w:rsidRDefault="00A23E6B" w:rsidP="00A23E6B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fossil fuel</w:t>
            </w:r>
          </w:p>
        </w:tc>
      </w:tr>
    </w:tbl>
    <w:p w:rsidR="00A23E6B" w:rsidRDefault="00A23E6B" w:rsidP="00A23E6B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A23E6B" w:rsidTr="008F2749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lastRenderedPageBreak/>
              <w:t>Geographical skills and fieldwork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23E6B" w:rsidRDefault="00A23E6B" w:rsidP="008F2749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shd w:val="clear" w:color="auto" w:fill="FFFFFF"/>
              </w:rPr>
              <w:t>Geographical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aerial view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aerial photograph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distance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location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locate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left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right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north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east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south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west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features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direction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physical feature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human feature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similar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different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landmark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negative/positive effects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climate change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adaptation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tourism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explorer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cross-section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similarity/difference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 use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benefit/advantage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drawback/disadvantage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process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approximate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greenhouse gas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sustainability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carbon footprint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global warming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renewable energy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natural disaster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threat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species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dependent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geology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ecology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ecosystem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atmosphere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human footprint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environment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comparison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impact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landscape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urban planner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shd w:val="clear" w:color="auto" w:fill="FFFFFF"/>
              </w:rPr>
              <w:t>Mapping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globe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atlas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symbol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key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sketch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scale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OS map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index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hemisphere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scale bar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mapping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tilt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four-figure grid reference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plot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eight points of the compass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route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represent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grid square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land height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sea level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thematic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aerial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digital map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time zone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 xml:space="preserve">six-figure </w:t>
            </w:r>
            <w:proofErr w:type="spellStart"/>
            <w:r>
              <w:rPr>
                <w:color w:val="364659"/>
                <w:sz w:val="18"/>
                <w:szCs w:val="18"/>
              </w:rPr>
              <w:t>grd</w:t>
            </w:r>
            <w:proofErr w:type="spellEnd"/>
            <w:r>
              <w:rPr>
                <w:color w:val="364659"/>
                <w:sz w:val="18"/>
                <w:szCs w:val="18"/>
              </w:rPr>
              <w:t xml:space="preserve"> references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contour lines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proofErr w:type="spellStart"/>
            <w:r>
              <w:rPr>
                <w:shd w:val="clear" w:color="auto" w:fill="FFFFFF"/>
              </w:rPr>
              <w:lastRenderedPageBreak/>
              <w:t>Fiedwork</w:t>
            </w:r>
            <w:proofErr w:type="spellEnd"/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survey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questionnaire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compass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rain gauge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thermometer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temperature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weather vane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</w:tr>
      <w:tr w:rsidR="00A23E6B" w:rsidTr="008F274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shd w:val="clear" w:color="auto" w:fill="FFFFFF"/>
              </w:rPr>
              <w:t>Fieldwork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sample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tally chart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pictogram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bar chart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data collection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expedition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magnetic/magnetic field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research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intention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destination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evaluate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compare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improvement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investigate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interview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method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risk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enquiry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data</w:t>
            </w:r>
          </w:p>
          <w:p w:rsidR="00A23E6B" w:rsidRDefault="00A23E6B" w:rsidP="00F768BC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analyse</w:t>
            </w:r>
            <w:proofErr w:type="spellEnd"/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present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quantitative/qualitative data</w:t>
            </w:r>
          </w:p>
          <w:p w:rsidR="00A23E6B" w:rsidRDefault="00A23E6B" w:rsidP="00F768BC">
            <w:pPr>
              <w:pStyle w:val="NoSpacingPHPDOCX"/>
            </w:pPr>
            <w:proofErr w:type="spellStart"/>
            <w:r>
              <w:rPr>
                <w:color w:val="364659"/>
                <w:sz w:val="18"/>
                <w:szCs w:val="18"/>
              </w:rPr>
              <w:t>summarise</w:t>
            </w:r>
            <w:proofErr w:type="spellEnd"/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interpret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quote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source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sample size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reliability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limitations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open-ended/closed questions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Likert scale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fieldwork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evidence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digital technologies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conclusion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cartogram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Geographic Information System (GIS)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pie chart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line graph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live data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consideration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annotate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justify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issue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viewpoint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data collection methods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subjective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audience</w:t>
            </w:r>
          </w:p>
          <w:p w:rsidR="00A23E6B" w:rsidRDefault="00A23E6B" w:rsidP="00F768BC">
            <w:pPr>
              <w:pStyle w:val="NoSpacingPHPDOCX"/>
            </w:pPr>
            <w:r>
              <w:rPr>
                <w:color w:val="364659"/>
                <w:sz w:val="18"/>
                <w:szCs w:val="18"/>
              </w:rPr>
              <w:t>recommendation</w:t>
            </w:r>
          </w:p>
        </w:tc>
      </w:tr>
    </w:tbl>
    <w:p w:rsidR="00780829" w:rsidRDefault="00780829">
      <w:pPr>
        <w:keepLines/>
        <w:spacing w:before="225" w:after="165" w:line="240" w:lineRule="auto"/>
      </w:pPr>
    </w:p>
    <w:sectPr w:rsidR="00780829" w:rsidSect="000F6147">
      <w:footerReference w:type="default" r:id="rId10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1666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3"/>
    </w:tblGrid>
    <w:tr w:rsidR="00D230F7" w:rsidTr="00D230F7">
      <w:trPr>
        <w:trHeight w:val="269"/>
      </w:trPr>
      <w:tc>
        <w:tcPr>
          <w:tcW w:w="50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B3AC2"/>
    <w:rsid w:val="008C5199"/>
    <w:rsid w:val="008F680D"/>
    <w:rsid w:val="00956CB3"/>
    <w:rsid w:val="00A23E6B"/>
    <w:rsid w:val="00AC197E"/>
    <w:rsid w:val="00B21D59"/>
    <w:rsid w:val="00B5113E"/>
    <w:rsid w:val="00BD419F"/>
    <w:rsid w:val="00D230F7"/>
    <w:rsid w:val="00DA4A85"/>
    <w:rsid w:val="00DF064E"/>
    <w:rsid w:val="00F768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E9EC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BF9C-1AEB-44BA-A6BB-AC12382C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5</cp:revision>
  <dcterms:created xsi:type="dcterms:W3CDTF">2026-05-06T08:35:00Z</dcterms:created>
  <dcterms:modified xsi:type="dcterms:W3CDTF">2026-05-13T13:44:00Z</dcterms:modified>
</cp:coreProperties>
</file>